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dea31fc8895dc2f4d1c0f39f3a7d04b6612091"/>
    <w:p>
      <w:pPr>
        <w:pStyle w:val="Heading1"/>
      </w:pPr>
      <w:r>
        <w:t xml:space="preserve">Kit grafico EDEH · Guida di stile delle presentazioni</w:t>
      </w:r>
    </w:p>
    <w:p>
      <w:pPr>
        <w:pStyle w:val="FirstParagraph"/>
      </w:pPr>
      <w:r>
        <w:rPr>
          <w:iCs/>
          <w:i/>
        </w:rPr>
        <w:t xml:space="preserve">ProfTecnologIA Framework · a cura di Antonio Scaramuzzino · CC BY-SA 4.0</w:t>
      </w:r>
    </w:p>
    <w:p>
      <w:pPr>
        <w:pStyle w:val="BodyText"/>
      </w:pPr>
      <w:r>
        <w:t xml:space="preserve">Il kit serve a produrre presentazioni sui rapporti EDEH coerenti con la sezione</w:t>
      </w:r>
      <w:r>
        <w:t xml:space="preserve"> </w:t>
      </w:r>
      <w:r>
        <w:rPr>
          <w:rStyle w:val="VerbatimChar"/>
        </w:rPr>
        <w:t xml:space="preserve">/edeh/</w:t>
      </w:r>
      <w:r>
        <w:t xml:space="preserve"> </w:t>
      </w:r>
      <w:r>
        <w:t xml:space="preserve">del sito. È un’identità grafica originale: non usa loghi EDEH, INDIRE o della Commissione europea.</w:t>
      </w:r>
    </w:p>
    <w:bookmarkStart w:id="20" w:name="idea-grafica"/>
    <w:p>
      <w:pPr>
        <w:pStyle w:val="Heading2"/>
      </w:pPr>
      <w:r>
        <w:t xml:space="preserve">Idea grafica</w:t>
      </w:r>
    </w:p>
    <w:p>
      <w:pPr>
        <w:pStyle w:val="FirstParagraph"/>
      </w:pPr>
      <w:r>
        <w:t xml:space="preserve">Il motivo ricorrente sono i</w:t>
      </w:r>
      <w:r>
        <w:t xml:space="preserve"> </w:t>
      </w:r>
      <w:r>
        <w:rPr>
          <w:bCs/>
          <w:b/>
        </w:rPr>
        <w:t xml:space="preserve">tre anelli intrecciati</w:t>
      </w:r>
      <w:r>
        <w:t xml:space="preserve"> </w:t>
      </w:r>
      <w:r>
        <w:t xml:space="preserve">della triade:</w:t>
      </w:r>
      <w:r>
        <w:t xml:space="preserve"> </w:t>
      </w:r>
      <w:r>
        <w:rPr>
          <w:iCs/>
          <w:i/>
        </w:rPr>
        <w:t xml:space="preserve">per</w:t>
      </w:r>
      <w:r>
        <w:t xml:space="preserve"> </w:t>
      </w:r>
      <w:r>
        <w:t xml:space="preserve">l’IA (blu),</w:t>
      </w:r>
      <w:r>
        <w:t xml:space="preserve"> </w:t>
      </w:r>
      <w:r>
        <w:rPr>
          <w:iCs/>
          <w:i/>
        </w:rPr>
        <w:t xml:space="preserve">l’</w:t>
      </w:r>
      <w:r>
        <w:t xml:space="preserve">IA (ocra),</w:t>
      </w:r>
      <w:r>
        <w:t xml:space="preserve"> </w:t>
      </w:r>
      <w:r>
        <w:rPr>
          <w:iCs/>
          <w:i/>
        </w:rPr>
        <w:t xml:space="preserve">con</w:t>
      </w:r>
      <w:r>
        <w:t xml:space="preserve"> </w:t>
      </w:r>
      <w:r>
        <w:t xml:space="preserve">l’IA (verde), con un punto corallo al centro. Compaiono grandi in copertina e in chiusura, piccoli in alto a sinistra in ogni slide di contenuto. Nelle slide di sezione un solo anello è pieno: quello dell’approccio di cui si parla.</w:t>
      </w:r>
    </w:p>
    <w:bookmarkEnd w:id="20"/>
    <w:bookmarkStart w:id="21" w:name="colori"/>
    <w:p>
      <w:pPr>
        <w:pStyle w:val="Heading2"/>
      </w:pPr>
      <w:r>
        <w:t xml:space="preserve">Colori</w:t>
      </w:r>
    </w:p>
    <w:tbl>
      <w:tblPr>
        <w:tblW w:type="pct" w:w="5000"/>
        <w:tblLook w:firstRow="1" w:lastRow="0" w:firstColumn="0" w:lastColumn="0" w:noHBand="0" w:noVBand="0" w:val="0020"/>
        <w:jc w:val="start"/>
        <w:tblBorders>
          <w:top w:val="single" w:sz="4" w:color="C9CCD3"/>
          <w:left w:val="single" w:sz="4" w:color="C9CCD3"/>
          <w:bottom w:val="single" w:sz="4" w:color="C9CCD3"/>
          <w:right w:val="single" w:sz="4" w:color="C9CCD3"/>
          <w:insideH w:val="single" w:sz="4" w:color="C9CCD3"/>
          <w:insideV w:val="single" w:sz="4" w:color="C9CCD3"/>
        </w:tblBorders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fill="ECEDF0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Ruolo</w:t>
            </w:r>
          </w:p>
        </w:tc>
        <w:tc>
          <w:tcPr>
            <w:shd w:val="clear" w:fill="ECEDF0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Esadecimale</w:t>
            </w:r>
          </w:p>
        </w:tc>
        <w:tc>
          <w:tcPr>
            <w:shd w:val="clear" w:fill="ECEDF0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Uso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Grafite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1F2430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Colore dominante: copertina, chiusura, titoli, riquadri scuri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Grafite scuro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161A23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Pannello destro della copertina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Corallo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FF7A59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Accento: punto degli anelli, frecce, numeri su fondo scuro. Mai per testo su bianco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Corallo scuro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A8361B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Testo d’accento su bianco, link, numeri delle attività, avvertenze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Corallo tenue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FFE9E2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Fondo dei riquadri «Attenzione» e «Nota del curatore»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Insegnare per l’IA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2459A8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(tenue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E7EEF9</w:t>
            </w:r>
            <w:r>
              <w:rPr>
                <w:sz w:val="19"/>
              </w:rPr>
              <w:t xml:space="preserve">, su scuro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7FB0F5</w:t>
            </w:r>
            <w:r>
              <w:rPr>
                <w:sz w:val="19"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Tutto ciò che riguarda l’approccio</w:t>
            </w:r>
            <w:r>
              <w:rPr>
                <w:sz w:val="19"/>
              </w:rPr>
              <w:t xml:space="preserve"> </w:t>
            </w:r>
            <w:r>
              <w:rPr>
                <w:iCs/>
                <w:i/>
                <w:sz w:val="19"/>
              </w:rPr>
              <w:t xml:space="preserve">per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Insegnare l’IA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9A6200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(tenue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F8EEDA</w:t>
            </w:r>
            <w:r>
              <w:rPr>
                <w:sz w:val="19"/>
              </w:rPr>
              <w:t xml:space="preserve">, su scuro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F0B85A</w:t>
            </w:r>
            <w:r>
              <w:rPr>
                <w:sz w:val="19"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Approccio</w:t>
            </w:r>
            <w:r>
              <w:rPr>
                <w:sz w:val="19"/>
              </w:rPr>
              <w:t xml:space="preserve"> </w:t>
            </w:r>
            <w:r>
              <w:rPr>
                <w:iCs/>
                <w:i/>
                <w:sz w:val="19"/>
              </w:rPr>
              <w:t xml:space="preserve">l’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(sull’IA)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Insegnare con l’IA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0E7C66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(tenue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DFF2EC</w:t>
            </w:r>
            <w:r>
              <w:rPr>
                <w:sz w:val="19"/>
              </w:rPr>
              <w:t xml:space="preserve">, su scuro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5FD1B3</w:t>
            </w:r>
            <w:r>
              <w:rPr>
                <w:sz w:val="19"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Approccio</w:t>
            </w:r>
            <w:r>
              <w:rPr>
                <w:sz w:val="19"/>
              </w:rPr>
              <w:t xml:space="preserve"> </w:t>
            </w:r>
            <w:r>
              <w:rPr>
                <w:iCs/>
                <w:i/>
                <w:sz w:val="19"/>
              </w:rPr>
              <w:t xml:space="preserve">con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Testo secondario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5B6170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Introduzioni, fonti, didascalie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Linee e fondi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sz w:val="19"/>
              </w:rPr>
              <w:t xml:space="preserve">D9DCE3</w:t>
            </w:r>
            <w:r>
              <w:rPr>
                <w:sz w:val="19"/>
              </w:rPr>
              <w:t xml:space="preserve">,</w:t>
            </w:r>
            <w:r>
              <w:rPr>
                <w:sz w:val="19"/>
              </w:rPr>
              <w:t xml:space="preserve"> </w:t>
            </w:r>
            <w:r>
              <w:rPr>
                <w:rStyle w:val="VerbatimChar"/>
                <w:sz w:val="19"/>
              </w:rPr>
              <w:t xml:space="preserve">F4F5F8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Bordi delle carte, fondo delle slide di attività</w:t>
            </w:r>
          </w:p>
        </w:tc>
      </w:tr>
    </w:tbl>
    <w:p>
      <w:pPr>
        <w:pStyle w:val="BodyText"/>
      </w:pPr>
      <w:r>
        <w:t xml:space="preserve">Il rischio dell’AI Act ha una scala propria: rosso</w:t>
      </w:r>
      <w:r>
        <w:t xml:space="preserve"> </w:t>
      </w:r>
      <w:r>
        <w:rPr>
          <w:rStyle w:val="VerbatimChar"/>
        </w:rPr>
        <w:t xml:space="preserve">B3261E</w:t>
      </w:r>
      <w:r>
        <w:t xml:space="preserve"> </w:t>
      </w:r>
      <w:r>
        <w:t xml:space="preserve">(vietato), arancione</w:t>
      </w:r>
      <w:r>
        <w:t xml:space="preserve"> </w:t>
      </w:r>
      <w:r>
        <w:rPr>
          <w:rStyle w:val="VerbatimChar"/>
        </w:rPr>
        <w:t xml:space="preserve">D9622B</w:t>
      </w:r>
      <w:r>
        <w:t xml:space="preserve"> </w:t>
      </w:r>
      <w:r>
        <w:t xml:space="preserve">(alto), giallo</w:t>
      </w:r>
      <w:r>
        <w:t xml:space="preserve"> </w:t>
      </w:r>
      <w:r>
        <w:rPr>
          <w:rStyle w:val="VerbatimChar"/>
        </w:rPr>
        <w:t xml:space="preserve">F2B33D</w:t>
      </w:r>
      <w:r>
        <w:t xml:space="preserve"> </w:t>
      </w:r>
      <w:r>
        <w:t xml:space="preserve">(limitato), verde</w:t>
      </w:r>
      <w:r>
        <w:t xml:space="preserve"> </w:t>
      </w:r>
      <w:r>
        <w:rPr>
          <w:rStyle w:val="VerbatimChar"/>
        </w:rPr>
        <w:t xml:space="preserve">3C8D5A</w:t>
      </w:r>
      <w:r>
        <w:t xml:space="preserve"> </w:t>
      </w:r>
      <w:r>
        <w:t xml:space="preserve">(minimo).</w:t>
      </w:r>
    </w:p>
    <w:bookmarkEnd w:id="21"/>
    <w:bookmarkStart w:id="22" w:name="caratteri"/>
    <w:p>
      <w:pPr>
        <w:pStyle w:val="Heading2"/>
      </w:pPr>
      <w:r>
        <w:t xml:space="preserve">Caratteri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Outfit</w:t>
      </w:r>
      <w:r>
        <w:t xml:space="preserve"> </w:t>
      </w:r>
      <w:r>
        <w:t xml:space="preserve">(grassetto) per titoli, numeri e intestazioni delle carte.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Source Sans 3</w:t>
      </w:r>
      <w:r>
        <w:t xml:space="preserve"> </w:t>
      </w:r>
      <w:r>
        <w:t xml:space="preserve">per il testo.</w:t>
      </w:r>
    </w:p>
    <w:p>
      <w:pPr>
        <w:numPr>
          <w:ilvl w:val="0"/>
          <w:numId w:val="1001"/>
        </w:numPr>
        <w:pStyle w:val="Compact"/>
      </w:pPr>
      <w:r>
        <w:t xml:space="preserve">Entrambi sono gratuiti su Google Fonts. Se non sono installati, PowerPoint li sostituisce e alcuni testi possono andare a capo in modo diverso: per la proiezione conviene installarli o usare il PDF.</w:t>
      </w:r>
    </w:p>
    <w:p>
      <w:pPr>
        <w:pStyle w:val="FirstParagraph"/>
      </w:pPr>
      <w:r>
        <w:t xml:space="preserve">Dimensioni: titoli 30 pt; sezioni 38 pt; testo da 14 a 20 pt, scelto in automatico perché riempia il riquadro senza uscirne, uguale nelle carte della stessa slide; fonti e didascalie 11 pt.</w:t>
      </w:r>
    </w:p>
    <w:bookmarkEnd w:id="22"/>
    <w:bookmarkStart w:id="23" w:name="layout-schemi-diapositiva"/>
    <w:p>
      <w:pPr>
        <w:pStyle w:val="Heading2"/>
      </w:pPr>
      <w:r>
        <w:t xml:space="preserve">Layout (schemi diapositiva)</w:t>
      </w:r>
    </w:p>
    <w:tbl>
      <w:tblPr>
        <w:tblW w:type="pct" w:w="5000"/>
        <w:tblLook w:firstRow="1" w:lastRow="0" w:firstColumn="0" w:lastColumn="0" w:noHBand="0" w:noVBand="0" w:val="0020"/>
        <w:jc w:val="start"/>
        <w:tblBorders>
          <w:top w:val="single" w:sz="4" w:color="C9CCD3"/>
          <w:left w:val="single" w:sz="4" w:color="C9CCD3"/>
          <w:bottom w:val="single" w:sz="4" w:color="C9CCD3"/>
          <w:right w:val="single" w:sz="4" w:color="C9CCD3"/>
          <w:insideH w:val="single" w:sz="4" w:color="C9CCD3"/>
          <w:insideV w:val="single" w:sz="4" w:color="C9CCD3"/>
        </w:tblBorders>
      </w:tblPr>
      <w:tblGrid>
        <w:gridCol w:w="3960"/>
        <w:gridCol w:w="3960"/>
      </w:tblGrid>
      <w:tr>
        <w:trPr>
          <w:tblHeader w:val="true"/>
        </w:trPr>
        <w:tc>
          <w:tcPr>
            <w:shd w:val="clear" w:fill="ECEDF0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Nome</w:t>
            </w:r>
          </w:p>
        </w:tc>
        <w:tc>
          <w:tcPr>
            <w:shd w:val="clear" w:fill="ECEDF0"/>
          </w:tcPr>
          <w:p>
            <w:pPr>
              <w:pStyle w:val="Compact"/>
              <w:jc w:val="left"/>
            </w:pPr>
            <w:r>
              <w:rPr>
                <w:b/>
                <w:sz w:val="19"/>
              </w:rPr>
              <w:t xml:space="preserve">Uso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EDEH Copertina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Modulo, titolo, sottotitolo, autore; anelli grandi a destra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EDEH Sezione g / per / lia / con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Divisori: numero grande sul pannello colorato, etichetta, titolo, domanda guida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EDEH Titolo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Tutte le slide di contenuto: anelli piccoli, titolo, piè di pagina con fonte e numero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EDEH Attivita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Laboratori: fondo grigio chiaro, pannello grafite con tempo, modalità, materiali e prodotto, passi numerati con minuti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EDEH Chiusura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sz w:val="19"/>
              </w:rPr>
              <w:t xml:space="preserve">Sintesi, prossimi passi, fonti e licenza</w:t>
            </w:r>
          </w:p>
        </w:tc>
      </w:tr>
    </w:tbl>
    <w:bookmarkEnd w:id="23"/>
    <w:bookmarkStart w:id="24" w:name="tipi-di-slide-del-generatore"/>
    <w:p>
      <w:pPr>
        <w:pStyle w:val="Heading2"/>
      </w:pPr>
      <w:r>
        <w:t xml:space="preserve">Tipi di slide del generatore</w:t>
      </w:r>
    </w:p>
    <w:p>
      <w:pPr>
        <w:pStyle w:val="FirstParagraph"/>
      </w:pPr>
      <w:r>
        <w:rPr>
          <w:rStyle w:val="VerbatimChar"/>
        </w:rPr>
        <w:t xml:space="preserve">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obiettivi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percorso</w:t>
      </w:r>
      <w:r>
        <w:t xml:space="preserve">,</w:t>
      </w:r>
      <w:r>
        <w:t xml:space="preserve"> </w:t>
      </w:r>
      <w:r>
        <w:rPr>
          <w:rStyle w:val="VerbatimChar"/>
        </w:rPr>
        <w:t xml:space="preserve">sez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</w:t>
      </w:r>
      <w:r>
        <w:t xml:space="preserve"> </w:t>
      </w:r>
      <w:r>
        <w:t xml:space="preserve">(griglie di carte con icona o numero),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steps</w:t>
      </w:r>
      <w:r>
        <w:t xml:space="preserve"> </w:t>
      </w:r>
      <w:r>
        <w:t xml:space="preserve">(processi con frecce),</w:t>
      </w:r>
      <w:r>
        <w:t xml:space="preserve"> </w:t>
      </w:r>
      <w:r>
        <w:rPr>
          <w:rStyle w:val="VerbatimChar"/>
        </w:rPr>
        <w:t xml:space="preserve">numlist</w:t>
      </w:r>
      <w:r>
        <w:t xml:space="preserve"> </w:t>
      </w:r>
      <w:r>
        <w:t xml:space="preserve">(elenco numerato con pannello laterale),</w:t>
      </w:r>
      <w:r>
        <w:t xml:space="preserve"> </w:t>
      </w:r>
      <w:r>
        <w:rPr>
          <w:rStyle w:val="VerbatimChar"/>
        </w:rPr>
        <w:t xml:space="preserve">stats</w:t>
      </w:r>
      <w:r>
        <w:t xml:space="preserve"> </w:t>
      </w:r>
      <w:r>
        <w:t xml:space="preserve">(numeri grandi),</w:t>
      </w:r>
      <w:r>
        <w:t xml:space="preserve"> </w:t>
      </w:r>
      <w:r>
        <w:rPr>
          <w:rStyle w:val="VerbatimChar"/>
        </w:rPr>
        <w:t xml:space="preserve">chart</w:t>
      </w:r>
      <w:r>
        <w:t xml:space="preserve"> </w:t>
      </w:r>
      <w:r>
        <w:t xml:space="preserve">(grafico a barre nativo),</w:t>
      </w:r>
      <w:r>
        <w:t xml:space="preserve"> </w:t>
      </w:r>
      <w:r>
        <w:rPr>
          <w:rStyle w:val="VerbatimChar"/>
        </w:rPr>
        <w:t xml:space="preserve">compare</w:t>
      </w:r>
      <w:r>
        <w:t xml:space="preserve"> </w:t>
      </w:r>
      <w:r>
        <w:t xml:space="preserve">(due colonne a confronto),</w:t>
      </w:r>
      <w:r>
        <w:t xml:space="preserve"> </w:t>
      </w:r>
      <w:r>
        <w:rPr>
          <w:rStyle w:val="VerbatimChar"/>
        </w:rPr>
        <w:t xml:space="preserve">quote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(attenzione e note del curatore),</w:t>
      </w:r>
      <w:r>
        <w:t xml:space="preserve"> </w:t>
      </w:r>
      <w:r>
        <w:rPr>
          <w:rStyle w:val="VerbatimChar"/>
        </w:rPr>
        <w:t xml:space="preserve">att</w:t>
      </w:r>
      <w:r>
        <w:t xml:space="preserve"> </w:t>
      </w:r>
      <w:r>
        <w:t xml:space="preserve">(attività),</w:t>
      </w:r>
      <w:r>
        <w:t xml:space="preserve"> </w:t>
      </w:r>
      <w:r>
        <w:rPr>
          <w:rStyle w:val="VerbatimChar"/>
        </w:rPr>
        <w:t xml:space="preserve">pyramid</w:t>
      </w:r>
      <w:r>
        <w:t xml:space="preserve"> </w:t>
      </w:r>
      <w:r>
        <w:t xml:space="preserve">(piramide del rischio o curricolare),</w:t>
      </w:r>
      <w:r>
        <w:t xml:space="preserve"> </w:t>
      </w:r>
      <w:r>
        <w:rPr>
          <w:rStyle w:val="VerbatimChar"/>
        </w:rPr>
        <w:t xml:space="preserve">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</w:t>
      </w:r>
      <w:r>
        <w:t xml:space="preserve">.</w:t>
      </w:r>
    </w:p>
    <w:bookmarkEnd w:id="24"/>
    <w:bookmarkStart w:id="25" w:name="regole-di-contenuto"/>
    <w:p>
      <w:pPr>
        <w:pStyle w:val="Heading2"/>
      </w:pPr>
      <w:r>
        <w:t xml:space="preserve">Regole di contenuto</w:t>
      </w:r>
    </w:p>
    <w:p>
      <w:pPr>
        <w:numPr>
          <w:ilvl w:val="0"/>
          <w:numId w:val="1002"/>
        </w:numPr>
        <w:pStyle w:val="Compact"/>
      </w:pPr>
      <w:r>
        <w:t xml:space="preserve">Una slide, un messaggio; titoli senza punto finale, su una riga.</w:t>
      </w:r>
    </w:p>
    <w:p>
      <w:pPr>
        <w:numPr>
          <w:ilvl w:val="0"/>
          <w:numId w:val="1002"/>
        </w:numPr>
        <w:pStyle w:val="Compact"/>
      </w:pPr>
      <w:r>
        <w:t xml:space="preserve">Ogni affermazione dei rapporti porta il riferimento «R</w:t>
      </w:r>
      <w:r>
        <w:t xml:space="preserve"> </w:t>
      </w:r>
      <w:r>
        <w:t xml:space="preserve">p. </w:t>
      </w:r>
      <w:r>
        <w:t xml:space="preserve">» nella fonte o nelle note.</w:t>
      </w:r>
    </w:p>
    <w:p>
      <w:pPr>
        <w:numPr>
          <w:ilvl w:val="0"/>
          <w:numId w:val="1002"/>
        </w:numPr>
        <w:pStyle w:val="Compact"/>
      </w:pPr>
      <w:r>
        <w:t xml:space="preserve">Aggiornamenti normativi e interpretazioni sono marcati come «nota», «sintesi» o «proposta del curatore».</w:t>
      </w:r>
    </w:p>
    <w:p>
      <w:pPr>
        <w:numPr>
          <w:ilvl w:val="0"/>
          <w:numId w:val="1002"/>
        </w:numPr>
        <w:pStyle w:val="Compact"/>
      </w:pPr>
      <w:r>
        <w:t xml:space="preserve">Citazioni testuali solo brevi e tra caporali «»; per il resto sintesi con parole proprie (i PDF non indicano una licenza).</w:t>
      </w:r>
    </w:p>
    <w:p>
      <w:pPr>
        <w:numPr>
          <w:ilvl w:val="0"/>
          <w:numId w:val="1002"/>
        </w:numPr>
        <w:pStyle w:val="Compact"/>
      </w:pPr>
      <w:r>
        <w:t xml:space="preserve">Le note del relatore contengono la spiegazione, le fonti e le soluzioni delle attività.</w:t>
      </w:r>
    </w:p>
    <w:bookmarkEnd w:id="25"/>
    <w:bookmarkStart w:id="26" w:name="rigenerare-le-presentazioni"/>
    <w:p>
      <w:pPr>
        <w:pStyle w:val="Heading2"/>
      </w:pPr>
      <w:r>
        <w:t xml:space="preserve">Rigenerare le presentazioni</w:t>
      </w:r>
    </w:p>
    <w:p>
      <w:pPr>
        <w:pStyle w:val="FirstParagraph"/>
      </w:pPr>
      <w:r>
        <w:t xml:space="preserve">Nella cartella</w:t>
      </w:r>
      <w:r>
        <w:t xml:space="preserve"> </w:t>
      </w:r>
      <w:r>
        <w:rPr>
          <w:rStyle w:val="VerbatimChar"/>
        </w:rPr>
        <w:t xml:space="preserve">_sorgenti</w:t>
      </w:r>
      <w:r>
        <w:t xml:space="preserve">:</w:t>
      </w:r>
      <w:r>
        <w:t xml:space="preserve"> </w:t>
      </w:r>
      <w:r>
        <w:rPr>
          <w:rStyle w:val="VerbatimChar"/>
        </w:rPr>
        <w:t xml:space="preserve">palette.js</w:t>
      </w:r>
      <w:r>
        <w:t xml:space="preserve"> </w:t>
      </w:r>
      <w:r>
        <w:t xml:space="preserve">(colori),</w:t>
      </w:r>
      <w:r>
        <w:t xml:space="preserve"> </w:t>
      </w:r>
      <w:r>
        <w:rPr>
          <w:rStyle w:val="VerbatimChar"/>
        </w:rPr>
        <w:t xml:space="preserve">make_img.js</w:t>
      </w:r>
      <w:r>
        <w:t xml:space="preserve"> </w:t>
      </w:r>
      <w:r>
        <w:t xml:space="preserve">(anelli e icone),</w:t>
      </w:r>
      <w:r>
        <w:t xml:space="preserve"> </w:t>
      </w:r>
      <w:r>
        <w:rPr>
          <w:rStyle w:val="VerbatimChar"/>
        </w:rPr>
        <w:t xml:space="preserve">kit.js</w:t>
      </w:r>
      <w:r>
        <w:t xml:space="preserve"> </w:t>
      </w:r>
      <w:r>
        <w:t xml:space="preserve">(layout e renderer),</w:t>
      </w:r>
      <w:r>
        <w:t xml:space="preserve"> </w:t>
      </w:r>
      <w:r>
        <w:rPr>
          <w:rStyle w:val="VerbatimChar"/>
        </w:rPr>
        <w:t xml:space="preserve">m1.js</w:t>
      </w:r>
      <w:r>
        <w:t xml:space="preserve">,</w:t>
      </w:r>
      <w:r>
        <w:t xml:space="preserve"> </w:t>
      </w:r>
      <w:r>
        <w:rPr>
          <w:rStyle w:val="VerbatimChar"/>
        </w:rPr>
        <w:t xml:space="preserve">m2.js</w:t>
      </w:r>
      <w:r>
        <w:t xml:space="preserve">,</w:t>
      </w:r>
      <w:r>
        <w:t xml:space="preserve"> </w:t>
      </w:r>
      <w:r>
        <w:rPr>
          <w:rStyle w:val="VerbatimChar"/>
        </w:rPr>
        <w:t xml:space="preserve">m3.js</w:t>
      </w:r>
      <w:r>
        <w:t xml:space="preserve"> </w:t>
      </w:r>
      <w:r>
        <w:t xml:space="preserve">(contenuti e note),</w:t>
      </w:r>
      <w:r>
        <w:t xml:space="preserve"> </w:t>
      </w:r>
      <w:r>
        <w:rPr>
          <w:rStyle w:val="VerbatimChar"/>
        </w:rPr>
        <w:t xml:space="preserve">build.js</w:t>
      </w:r>
      <w:r>
        <w:t xml:space="preserve"> </w:t>
      </w:r>
      <w:r>
        <w:t xml:space="preserve">(pptx e testo .md),</w:t>
      </w:r>
      <w:r>
        <w:t xml:space="preserve"> </w:t>
      </w:r>
      <w:r>
        <w:rPr>
          <w:rStyle w:val="VerbatimChar"/>
        </w:rPr>
        <w:t xml:space="preserve">render.sh</w:t>
      </w:r>
      <w:r>
        <w:t xml:space="preserve"> </w:t>
      </w:r>
      <w:r>
        <w:t xml:space="preserve">(pptx, pdf, controllo). Servono Node con</w:t>
      </w:r>
      <w:r>
        <w:t xml:space="preserve"> </w:t>
      </w:r>
      <w:r>
        <w:rPr>
          <w:rStyle w:val="VerbatimChar"/>
        </w:rPr>
        <w:t xml:space="preserve">pptxgenjs</w:t>
      </w:r>
      <w:r>
        <w:t xml:space="preserve">,</w:t>
      </w:r>
      <w:r>
        <w:t xml:space="preserve"> </w:t>
      </w:r>
      <w:r>
        <w:rPr>
          <w:rStyle w:val="VerbatimChar"/>
        </w:rPr>
        <w:t xml:space="preserve">sharp</w:t>
      </w:r>
      <w:r>
        <w:t xml:space="preserve">,</w:t>
      </w:r>
      <w:r>
        <w:t xml:space="preserve"> </w:t>
      </w:r>
      <w:r>
        <w:rPr>
          <w:rStyle w:val="VerbatimChar"/>
        </w:rPr>
        <w:t xml:space="preserve">react-icons</w:t>
      </w:r>
      <w:r>
        <w:t xml:space="preserve"> </w:t>
      </w:r>
      <w:r>
        <w:t xml:space="preserve">e LibreOffice per il PDF. Modificare il testo nei file</w:t>
      </w:r>
      <w:r>
        <w:t xml:space="preserve"> </w:t>
      </w:r>
      <w:r>
        <w:rPr>
          <w:rStyle w:val="VerbatimChar"/>
        </w:rPr>
        <w:t xml:space="preserve">m*.js</w:t>
      </w:r>
      <w:r>
        <w:t xml:space="preserve"> </w:t>
      </w:r>
      <w:r>
        <w:t xml:space="preserve">e rieseguire</w:t>
      </w:r>
      <w:r>
        <w:t xml:space="preserve"> </w:t>
      </w:r>
      <w:r>
        <w:rPr>
          <w:rStyle w:val="VerbatimChar"/>
        </w:rPr>
        <w:t xml:space="preserve">node build.js m1 m2 m3</w:t>
      </w:r>
      <w:r>
        <w:t xml:space="preserve">: il testo .md si aggiorna dallo stesso elenco.</w:t>
      </w:r>
    </w:p>
    <w:bookmarkEnd w:id="26"/>
    <w:bookmarkEnd w:id="27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ource Sans 3" w:cs="Source Sans 3" w:eastAsia="Source Sans 3" w:hAnsi="Source Sans 3"/>
      <w:color w:val="1F2430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Source Sans 3" w:cs="Source Sans 3" w:eastAsia="Source Sans 3" w:hAnsi="Source Sans 3"/>
      <w:color w:val="1F2430"/>
      <w:sz w:val="22"/>
    </w:rPr>
  </w:style>
  <w:style w:customStyle="1" w:styleId="FirstParagraph" w:type="paragraph">
    <w:name w:val="First Paragraph"/>
    <w:basedOn w:val="BodyText"/>
    <w:next w:val="BodyText"/>
    <w:qFormat/>
    <w:rPr>
      <w:rFonts w:ascii="Source Sans 3" w:cs="Source Sans 3" w:eastAsia="Source Sans 3" w:hAnsi="Source Sans 3"/>
      <w:color w:val="1F2430"/>
      <w:sz w:val="22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3" w:cs="Source Sans 3" w:eastAsia="Source Sans 3" w:hAnsi="Source Sans 3"/>
      <w:color w:val="1F2430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Outfit" w:cs="Outfit" w:eastAsia="Outfit" w:hAnsi="Outfit"/>
      <w:b/>
      <w:bCs/>
      <w:color w:val="1F2430"/>
      <w:sz w:val="4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Outfit" w:cs="Outfit" w:eastAsia="Outfit" w:hAnsi="Outfit"/>
      <w:b/>
      <w:bCs/>
      <w:color w:val="B83A1E"/>
      <w:sz w:val="36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Outfit" w:cs="Outfit" w:eastAsia="Outfit" w:hAnsi="Outfit"/>
      <w:b/>
      <w:bCs/>
      <w:color w:val="1F243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80"/>
      <w:outlineLvl w:val="2"/>
    </w:pPr>
    <w:rPr>
      <w:rFonts w:ascii="Outfit" w:cs="Outfit" w:eastAsia="Outfit" w:hAnsi="Outfit"/>
      <w:b/>
      <w:bCs/>
      <w:color w:val="1F243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3" w:cs="Source Sans 3" w:eastAsia="Source Sans 3" w:hAnsi="Source Sans 3"/>
      <w:color w:val="555B6B"/>
      <w:sz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2026-10-22T08:15:57Z</dcterms:created>
  <dcterms:modified xsi:type="dcterms:W3CDTF">2026-10-22T08:15:57Z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