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B426D" w:color="auto" w:val="clear"/>
            <w:tcMar>
              <w:top w:type="dxa" w:w="400"/>
              <w:left w:type="dxa" w:w="400"/>
              <w:bottom w:type="dxa" w:w="400"/>
              <w:right w:type="dxa" w:w="400"/>
            </w:tcMar>
          </w:tcPr>
          <w:p>
            <w:pPr>
              <w:pStyle w:val="TitoloDispensa"/>
            </w:pPr>
            <w:r>
              <w:rPr>
                <w:rFonts w:ascii="Titillium Web" w:cs="Titillium Web" w:eastAsia="Titillium Web" w:hAnsi="Titillium Web"/>
                <w:b/>
                <w:bCs/>
                <w:color w:val="FFFFFF"/>
                <w:sz w:val="60"/>
                <w:szCs w:val="60"/>
              </w:rPr>
              <w:t xml:space="preserve">DigComp 3.0</w:t>
            </w:r>
          </w:p>
          <w:p>
            <w:pPr>
              <w:spacing w:after="0" w:before="120"/>
              <w:jc w:val="left"/>
            </w:pPr>
            <w:r>
              <w:rPr>
                <w:b/>
                <w:bCs/>
                <w:color w:val="FFFFFF"/>
                <w:sz w:val="26"/>
                <w:szCs w:val="26"/>
              </w:rPr>
              <w:t xml:space="preserve">Il Quadro europeo delle competenze digitali e la competenza in materia di IA</w:t>
            </w:r>
          </w:p>
        </w:tc>
      </w:tr>
    </w:tbl>
    <w:p>
      <w:pPr>
        <w:keepNext w:val="false"/>
        <w:spacing w:after="140" w:before="200"/>
        <w:jc w:val="left"/>
      </w:pPr>
      <w:r>
        <w:rPr>
          <w:i/>
          <w:iCs/>
          <w:color w:val="5D6676"/>
        </w:rPr>
        <w:t xml:space="preserve">Dispensa per i docenti in formazione · a cura di Antonio Scaramuzzino</w:t>
      </w:r>
    </w:p>
    <w:p>
      <w:pPr>
        <w:spacing w:after="120" w:before="120"/>
        <w:jc w:val="center"/>
      </w:pPr>
      <w:r>
        <w:drawing>
          <wp:inline distT="0" distB="0" distL="0" distR="0">
            <wp:extent cx="3429000" cy="3105150"/>
            <wp:effectExtent t="0" r="0" b="0" l="0"/>
            <wp:docPr id="1" name="figura5_aree_digcomp" descr="figura5 aree digcomp" title="figura5_aree_digco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color w:val="5D6676"/>
          <w:sz w:val="17"/>
          <w:szCs w:val="17"/>
        </w:rPr>
        <w:t xml:space="preserve">Figura 5. Aree di competenza e competenze del DigComp 3.0 · elaborazione JRC, p. 17</w:t>
      </w:r>
    </w:p>
    <w:p>
      <w:pPr>
        <w:keepNext w:val="false"/>
        <w:spacing w:after="140" w:before="0"/>
        <w:jc w:val="both"/>
      </w:pPr>
      <w:r>
        <w:t xml:space="preserve">I numeri di pagina si riferiscono alla traduzione italiana del DigComp 3.0 (versione 1.0 del 31/03/2026).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Obiettivi della dispensa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Conoscere struttura e novità della quinta edizione del DigComp.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Capire come il DigComp 3.0 integra la competenza in materia di IA.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Usare enunciati di competenza e risultati di apprendimento per progettare attività, in raccordo con l'AILit Framework.</w:t>
      </w:r>
    </w:p>
    <w:p>
      <w:pPr>
        <w:pageBreakBefore/>
        <w:spacing w:after="0" w:before="0" w:line="120" w:lineRule="exact"/>
      </w:pPr>
    </w:p>
    <w:tbl>
      <w:tblPr>
        <w:tblW w:type="dxa" w:w="2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</w:tblGrid>
      <w:tr>
        <w:trPr>
          <w:cantSplit/>
        </w:trPr>
        <w:tc>
          <w:tcPr>
            <w:tcW w:type="dxa" w:w="2000"/>
            <w:shd w:fill="2B426D" w:color="auto" w:val="clear"/>
            <w:tcMar>
              <w:top w:type="dxa" w:w="80"/>
              <w:bottom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FFFFFF"/>
                <w:sz w:val="64"/>
                <w:szCs w:val="64"/>
              </w:rPr>
              <w:t xml:space="preserve">01</w:t>
            </w:r>
          </w:p>
        </w:tc>
      </w:tr>
    </w:tbl>
    <w:p>
      <w:pPr>
        <w:pStyle w:val="Heading1"/>
        <w:jc w:val="center"/>
      </w:pPr>
      <w:r>
        <w:t xml:space="preserve">Perché un nuovo DigComp</w:t>
      </w:r>
    </w:p>
    <w:p>
      <w:pPr>
        <w:spacing w:after="120" w:before="120"/>
        <w:jc w:val="center"/>
      </w:pPr>
      <w:r>
        <w:drawing>
          <wp:inline distT="0" distB="0" distL="0" distR="0">
            <wp:extent cx="666750" cy="666750"/>
            <wp:effectExtent t="0" r="0" b="0" l="0"/>
            <wp:docPr id="2" name="simbolo_barre" descr="simbolo barre" title="simbolo_ba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after="140" w:before="0"/>
        <w:jc w:val="both"/>
      </w:pPr>
      <w:r>
        <w:t xml:space="preserve">Il DigComp è stato pubblicato per la prima volta nel 2013, con aggiornamenti nel 2016, 2017 e 2022 (p. 5). Il DigComp 3.0, quinta edizione, è sviluppato dal Joint Research Centre (JRC) della Commissione europea in collaborazione con la DG Occupazione, affari sociali e inclusione (p. 3). È la base concettuale del Digital Skills Indicator, con cui si monitorano le competenze digitali di base in Europa (p. 11). La competenza digitale è una delle otto competenze chiave per l'apprendimento permanente (p. 11), e il DigComp 3.0 incarna i valori della Dichiarazione europea sui diritti e i principi digitali (p. 11).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3F1F4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pStyle w:val="BoxTitolo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25285A"/>
                <w:sz w:val="28"/>
                <w:szCs w:val="28"/>
              </w:rPr>
              <w:t xml:space="preserve">Alcuni dati (DigComp 3.0, p. 5 e Figura 1, p. 9)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Nel 2023 il 56% degli adulti nell'UE aveva competenze digitali almeno di base; l'obiettivo per il 2030 è l'80%.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Nel 2023 il 43% degli studenti della scuola secondaria nell'UE non ha raggiunto un livello base di competenze digitali.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Nel 2024-2025 il 30% dei lavoratori dell'UE ha utilizzato sistemi di IA nel lavoro.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Nel 2024 il 42% dei lavoratori ha dichiarato un divario di competenze sull'IA; solo il 15% aveva partecipato a una formazione sulle competenze IA.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2"/>
      </w:pPr>
      <w:r>
        <w:t xml:space="preserve">Il quadro delle politiche europee</w:t>
      </w:r>
    </w:p>
    <w:p>
      <w:pPr>
        <w:keepNext w:val="false"/>
        <w:spacing w:after="140" w:before="0"/>
        <w:jc w:val="both"/>
      </w:pPr>
      <w:r>
        <w:t xml:space="preserve">Il Box 1 (p. 10) richiama, tra le altre, queste iniziative: il Digital Decade Policy Programme (obiettivi al 2030); l'Union of Skills, con il Piano d'azione sulle competenze di base, di cui il DigComp 3.0 è una delle azioni; la Strategia europea per un Internet migliore per i ragazzi (BIK+); l'AI Continent Action Plan e la Apply AI Strategy. Tra le norme: GDPR, Digital Services Act, AI Act. L'articolo 4 del Regolamento sull'IA impone a fornitori e operatori di sistemi di IA di garantire un livello sufficiente di alfabetizzazione IA del personale (p. 10).</w:t>
      </w:r>
    </w:p>
    <w:p>
      <w:pPr>
        <w:pStyle w:val="Heading2"/>
      </w:pPr>
      <w:r>
        <w:t xml:space="preserve">Cosa c'è di nuovo</w:t>
      </w:r>
    </w:p>
    <w:p>
      <w:pPr>
        <w:keepNext/>
        <w:spacing w:after="140" w:before="0"/>
        <w:jc w:val="both"/>
      </w:pPr>
      <w:r>
        <w:t xml:space="preserve">Cinque </w:t>
      </w:r>
      <w:r>
        <w:rPr>
          <w:b/>
          <w:bCs/>
        </w:rPr>
        <w:t xml:space="preserve">temi prioritari di contenuto</w:t>
      </w:r>
      <w:r>
        <w:t xml:space="preserve"> hanno guidato l'aggiornamento (Figura 3, p. 12):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200"/>
        <w:gridCol w:w="8838"/>
      </w:tblGrid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Competenza sull'IA (inclusa l'IA generativa)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Diritti digitali, scelta e responsabilità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Benessere negli ambienti digitali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Competenza sulla cybersicurezza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5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Competenza per contrastare misinformazione e disinformazione</w:t>
            </w:r>
          </w:p>
        </w:tc>
      </w:tr>
    </w:tbl>
    <w:p>
      <w:pPr>
        <w:spacing w:after="60"/>
      </w:pPr>
      <w:r>
        <w:t xml:space="preserve"/>
      </w:r>
    </w:p>
    <w:p>
      <w:pPr>
        <w:keepNext/>
        <w:spacing w:after="140" w:before="0"/>
        <w:jc w:val="both"/>
      </w:pPr>
      <w:r>
        <w:t xml:space="preserve">Le principali modifiche (Figura 4, p. 12; Tabella A1, p. 77):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200"/>
        <w:gridCol w:w="8838"/>
      </w:tblGrid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Titoli e descrittori di aree e competenze aggiornati; la struttura resta la stessa (5 aree, 21 competenze).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Livelli di padronanza ridenominati e descritti: Base, Intermedio, Avanzato, Altamente avanzato, mappabili sugli otto livelli del DigComp 2.2.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Nuovi enunciati di competenza (362) per ogni competenza e livello.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Nuovi risultati di apprendimento (522), classificati per conoscenze, abilità e atteggiamenti.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5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Integrazione sistematica e trasversale della competenza in materia di IA.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6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Glossario di circa 120 termini; contenuti chiave disponibili come foglio di calcolo e open data (JSON) nello spazio web del JRC.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Citazione"/>
      </w:pPr>
      <w:r>
        <w:t xml:space="preserve">«Il DigComp 3.0 non è prescrittivo e dovrebbe essere adattato e personalizzato per usi e applicazioni specifici.» (p. 13)</w:t>
      </w:r>
    </w:p>
    <w:p>
      <w:pPr>
        <w:pageBreakBefore/>
        <w:spacing w:after="0" w:before="0" w:line="120" w:lineRule="exact"/>
      </w:pPr>
    </w:p>
    <w:tbl>
      <w:tblPr>
        <w:tblW w:type="dxa" w:w="2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</w:tblGrid>
      <w:tr>
        <w:trPr>
          <w:cantSplit/>
        </w:trPr>
        <w:tc>
          <w:tcPr>
            <w:tcW w:type="dxa" w:w="2000"/>
            <w:shd w:fill="4198AB" w:color="auto" w:val="clear"/>
            <w:tcMar>
              <w:top w:type="dxa" w:w="80"/>
              <w:bottom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FFFFFF"/>
                <w:sz w:val="64"/>
                <w:szCs w:val="64"/>
              </w:rPr>
              <w:t xml:space="preserve">02</w:t>
            </w:r>
          </w:p>
        </w:tc>
      </w:tr>
    </w:tbl>
    <w:p>
      <w:pPr>
        <w:pStyle w:val="Heading1"/>
        <w:jc w:val="center"/>
      </w:pPr>
      <w:r>
        <w:t xml:space="preserve">La struttura del framework</w:t>
      </w:r>
    </w:p>
    <w:p>
      <w:pPr>
        <w:spacing w:after="120" w:before="120"/>
        <w:jc w:val="center"/>
      </w:pPr>
      <w:r>
        <w:drawing>
          <wp:inline distT="0" distB="0" distL="0" distR="0">
            <wp:extent cx="666750" cy="666750"/>
            <wp:effectExtent t="0" r="0" b="0" l="0"/>
            <wp:docPr id="3" name="simbolo_barre" descr="simbolo barre" title="simbolo_ba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La definizione di competenza digitale</w:t>
      </w:r>
    </w:p>
    <w:p>
      <w:pPr>
        <w:keepNext/>
        <w:spacing w:after="140" w:before="0"/>
        <w:jc w:val="both"/>
      </w:pPr>
      <w:r>
        <w:t xml:space="preserve">Il DigComp 3.0 mantiene invariata la definizione della Raccomandazione del Consiglio del 2018 (p. 16; p. 77):</w:t>
      </w:r>
    </w:p>
    <w:p>
      <w:pPr>
        <w:pStyle w:val="Citazione"/>
      </w:pPr>
      <w:r>
        <w:t xml:space="preserve">«La competenza digitale implica l'uso sicuro, critico e responsabile delle tecnologie digitali e il loro impiego nell'apprendimento, nel lavoro e nella partecipazione alla società. Comprende l'alfabetizzazione all'informazione e ai dati, la comunicazione e la collaborazione, l'alfabetizzazione ai media, la creazione di contenuti digitali (compresa la programmazione), la sicurezza (compreso il benessere digitale e le competenze relative alla sicurezza informatica), le questioni relative alla proprietà intellettuale, la risoluzione di problemi e il pensiero critico.»</w:t>
      </w:r>
    </w:p>
    <w:p>
      <w:pPr>
        <w:keepNext/>
        <w:spacing w:after="140" w:before="0"/>
        <w:jc w:val="both"/>
      </w:pPr>
      <w:r>
        <w:t xml:space="preserve">Le competenze combinano (p. 16):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Conoscenze</w:t>
      </w:r>
      <w:r>
        <w:t xml:space="preserve">: fatti e cifre, concetti, idee e teorie già consolidati.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Abilità</w:t>
      </w:r>
      <w:r>
        <w:t xml:space="preserve">: capacità di eseguire compiti e processi e di usare le conoscenze per raggiungere risultati.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Atteggiamenti</w:t>
      </w:r>
      <w:r>
        <w:t xml:space="preserve">: disposizione e mentalità ad agire o reagire rispetto a idee, persone o situazioni.</w:t>
      </w:r>
    </w:p>
    <w:p>
      <w:pPr>
        <w:keepNext w:val="false"/>
        <w:spacing w:after="140" w:before="0"/>
        <w:jc w:val="both"/>
      </w:pPr>
      <w:r>
        <w:rPr>
          <w:i/>
          <w:iCs/>
        </w:rPr>
        <w:t xml:space="preserve">Nota terminologica: nella traduzione italiana dell'AILit Framework lo stesso termine inglese «attitudes» è reso con «attitudini».</w:t>
      </w:r>
    </w:p>
    <w:p>
      <w:pPr>
        <w:pStyle w:val="Heading2"/>
      </w:pPr>
      <w:r>
        <w:t xml:space="preserve">Le cinque componenti (Tabella 1, p. 16)</w:t>
      </w:r>
    </w:p>
    <w:tbl>
      <w:tblPr>
        <w:tblW w:type="dxa" w:w="9638"/>
        <w:tblBorders>
          <w:top w:val="single" w:color="2B426D" w:sz="4"/>
          <w:left w:val="single" w:color="2B426D" w:sz="4"/>
          <w:bottom w:val="single" w:color="2B426D" w:sz="4"/>
          <w:right w:val="single" w:color="2B426D" w:sz="4"/>
          <w:insideH w:val="single" w:color="2B426D" w:sz="4"/>
          <w:insideV w:val="single" w:color="2B426D" w:sz="4"/>
        </w:tblBorders>
      </w:tblPr>
      <w:tblGrid>
        <w:gridCol w:w="2600"/>
        <w:gridCol w:w="7038"/>
      </w:tblGrid>
      <w:tr>
        <w:trPr>
          <w:cantSplit/>
          <w:tblHeader/>
        </w:trPr>
        <w:tc>
          <w:tcPr>
            <w:tcW w:type="dxa" w:w="26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Componente</w:t>
            </w:r>
          </w:p>
        </w:tc>
        <w:tc>
          <w:tcPr>
            <w:tcW w:type="dxa" w:w="7038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 cosa fa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Definizione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Stabilisce contenuto e ambito; distingue conoscenze, abilità e atteggiamenti.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Aree di competenza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Cinque gruppi tematici, con titolo e descrittore.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Competenze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21 competenze organizzate nelle cinque aree, con titolo e descrittore.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Livelli di padronanza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Base, Intermedio, Avanzato, Altamente avanzato; descritti in dettaglio da 362 enunciati di competenza.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Risultati di apprendimento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522 dichiarazioni di ciò che una persona dovrebbe sapere o saper fare, per competenza, livello e tipo (K, S, A).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2"/>
      </w:pPr>
      <w:r>
        <w:t xml:space="preserve">Aree e competenze (Tabella 2, pp. 18-20)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1. Ricerca, valutazione e gestione delle informazioni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1.1 Navigare, ricercare e filtrare le informazioni</w:t>
      </w:r>
      <w:r>
        <w:t xml:space="preserve"> – Articolare i fabbisogni informativi, sapere come e dove cercare informazioni e contenuti negli ambienti digitali, accedervi e navigare tra di essi. Selezionare strumenti digitali appropriati per creare, implementare e aggiornare le ricerche negli ambienti digitali ed essere in grado di distinguere tra informazioni e contenuti pertinenti e non pertinenti.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1.2 Valutare le informazioni</w:t>
      </w:r>
      <w:r>
        <w:t xml:space="preserve"> – Valutare e confrontare la credibilità e l'affidabilità delle fonti di informazione e dei contenuti negli ambienti digitali. Interpretare e valutare criticamente le informazioni e i contenuti presenti negli ambienti digitali, nonché i processi utilizzati per generarli.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1.3 Gestire le informazioni</w:t>
      </w:r>
      <w:r>
        <w:t xml:space="preserve"> – Organizzare, archiviare e recuperare informazioni e dati negli ambienti digitali. Raccogliere, elaborare e analizzare informazioni e dati in ambienti digitali strutturati.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2. Comunicazione e collaborazione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2.1 Interagire attraverso e con le tecnologie digitali</w:t>
      </w:r>
      <w:r>
        <w:t xml:space="preserve"> – Interagire attraverso e con una varietà di tecnologie digitali e utilizzare modalità di comunicazione digitale appropriate al contesto.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2.2 Condividere attraverso le tecnologie digitali</w:t>
      </w:r>
      <w:r>
        <w:t xml:space="preserve"> – Condividere informazioni e contenuti in modo etico e responsabile con altri attraverso tecnologie digitali appropriate.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2.3 Esercitare la cittadinanza attraverso le tecnologie digitali</w:t>
      </w:r>
      <w:r>
        <w:t xml:space="preserve"> – Partecipare alla vita sociale attraverso l'uso etico e responsabile di piattaforme e servizi digitali. Ricercare opportunità di empowerment e partecipazione attraverso tecnologie digitali appropriate. Essere consapevoli dei propri diritti, saperli esercitare ed effettuare scelte informate negli ambienti digitali.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2.4 Collaborare attraverso le tecnologie digitali</w:t>
      </w:r>
      <w:r>
        <w:t xml:space="preserve"> – Utilizzare le tecnologie digitali in modo etico e responsabile per finalità collaborative, nonché per la co-costruzione e la co-creazione di informazioni, risorse e conoscenza.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2.5 Comportamento digitale</w:t>
      </w:r>
      <w:r>
        <w:t xml:space="preserve"> – Essere consapevoli delle norme comportamentali e sapere come comportarsi in modo rispettoso nell'utilizzo delle tecnologie digitali e nell'interazione negli ambienti digitali. Adattare la comunicazione ai diversi contesti, mantenendo attenzione e rispetto verso le diversità culturali, generazionali e di altra natura presenti negli ambienti digitali.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2.6 Gestire l'identità digitale</w:t>
      </w:r>
      <w:r>
        <w:t xml:space="preserve"> – Gestire una o più identità digitali. Intraprendere azioni per contribuire a proteggere la propria reputazione digitale (come si viene percepiti in base alla propria presenza online) e gestire la propria impronta digitale (i dati prodotti attraverso l'uso di e da parte di piattaforme e servizi digitali).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3. Creazione di contenuti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3.1 Sviluppare contenuti digitali</w:t>
      </w:r>
      <w:r>
        <w:t xml:space="preserve"> – Utilizzare le tecnologie digitali in modo etico e responsabile per creare e modificare una varietà di contenuti. Esprimere sé stessi attraverso mezzi digitali.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3.2 Integrare e rielaborare contenuti digitali</w:t>
      </w:r>
      <w:r>
        <w:t xml:space="preserve"> – Modificare, perfezionare e integrare nuove informazioni e contenuti all'interno di conoscenze e risorse esistenti per creare contenuti e conoscenze nuovi e originali.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3.3 Copyright e licenze</w:t>
      </w:r>
      <w:r>
        <w:t xml:space="preserve"> – Comprendere come il copyright e le licenze, nonché le relative questioni legali ed etiche, si applicano ai contenuti digitali e come applicarli correttamente.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3.4 Pensiero computazionale e programmazione</w:t>
      </w:r>
      <w:r>
        <w:t xml:space="preserve"> – Comprendere e implementare i passaggi per analizzare un problema, riconoscere i sottoproblemi e pianificare e sviluppare una sequenza di istruzioni per consentire a un sistema informatico di risolvere un determinato problema o svolgere un compito specifico.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4. Sicurezza, benessere e uso responsabile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4.1 Proteggere i dispositivi</w:t>
      </w:r>
      <w:r>
        <w:t xml:space="preserve"> – Applicare misure di sicurezza e di cybersicurezza per proteggere dispositivi e contenuti digitali. Essere consapevoli della natura evolutiva dei rischi e delle minacce negli ambienti digitali e prestare la dovuta attenzione alla sicurezza dei dispositivi digitali e dei loro contenuti.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4.2 Proteggere i dati personali e la privacy</w:t>
      </w:r>
      <w:r>
        <w:t xml:space="preserve"> – Essere consapevoli dei propri diritti ed esercitarli in relazione ai dati personali e alla privacy negli ambienti digitali. Valutare e gestire i rischi per la privacy e proteggere i dati personali e la privacy negli ambienti digitali. Utilizzare e condividere i propri dati personali e i dati personali altrui in modo sicuro, etico e responsabile.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4.3 Supportare il benessere</w:t>
      </w:r>
      <w:r>
        <w:t xml:space="preserve"> – Utilizzare le tecnologie digitali in modi che supportino il benessere e l'inclusione. Minimizzare i rischi e le minacce al benessere fisico, mentale e sociale proprio e degli altri quando si usano le tecnologie digitali. Bilanciare l'uso delle tecnologie digitali con attività offline al fine di aumentare il benessere. Agire per contribuire a proteggere sé stessi e gli altri da possibili pericoli negli ambienti digitali (ad es. cyberbullismo, contenuti dannosi) e sapere come rispondere a tali pericoli.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4.4 Impatti ambientali delle tecnologie digitali</w:t>
      </w:r>
      <w:r>
        <w:t xml:space="preserve"> – Essere consapevoli degli impatti ambientali delle tecnologie digitali, inclusi la produzione, il funzionamento, la riparazione, il riciclaggio e lo smaltimento dei dispositivi, le infrastrutture di archiviazione dei dati, il consumo energetico e l'utilizzo di strumenti e applicazioni. Agire per ridurre tali impatti e utilizzare le tecnologie digitali per supportare la sostenibilità.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5. Identificazione e risoluzione dei problemi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5.1 Identificare e risolvere problemi tecnici</w:t>
      </w:r>
      <w:r>
        <w:t xml:space="preserve"> – Identificare problemi tecnici quando si utilizzano dispositivi digitali e negli ambienti digitali e risolverli attraverso una varietà di mezzi.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5.2 Identificare bisogni e risposte tecnologiche digitali</w:t>
      </w:r>
      <w:r>
        <w:t xml:space="preserve"> – Esaminare i propri bisogni e quelli altrui e valutare, selezionare, utilizzare e adattare le tecnologie digitali per soddisfare tali bisogni. Regolare e personalizzare gli ambienti digitali in base ai contesti, agli obiettivi e ai bisogni (ad es. accessibilità) propri e degli altri.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5.3 Identificare soluzioni creative utilizzando le tecnologie digitali</w:t>
      </w:r>
      <w:r>
        <w:t xml:space="preserve"> – Utilizzare le tecnologie digitali per apportare miglioramenti o creare nuove soluzioni, processi e prodotti, applicando un approccio incentrato sulla persona. Impegnarsi individualmente e collettivamente in processi di pensiero critico e nell'uso creativo e intenzionale delle tecnologie digitali per comprendere e risolvere problemi concettuali e situazioni problematiche.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5.4 Identificare e rispondere ai bisogni di competenza digitale</w:t>
      </w:r>
      <w:r>
        <w:t xml:space="preserve"> – Riconoscere in quali ambiti la propria competenza digitale deve essere migliorata o aggiornata. Affrontare i bisogni di competenza digitale nell'ambito di un più ampio processo di apprendimento permanente, sviluppando progressivamente capacità e autonomia. Supportare gli altri nello sviluppo delle loro competenze digitali. Aggiornarsi sugli sviluppi tecnologici digitali e sulle relative implicazioni personali, professionali e sociali.</w:t>
      </w:r>
    </w:p>
    <w:p>
      <w:pPr>
        <w:pStyle w:val="Heading2"/>
      </w:pPr>
      <w:r>
        <w:t xml:space="preserve">I livelli di padronanza (Tabella 3, p. 21)</w:t>
      </w:r>
    </w:p>
    <w:p>
      <w:pPr>
        <w:keepNext w:val="false"/>
        <w:spacing w:after="140" w:before="0"/>
        <w:jc w:val="both"/>
      </w:pPr>
      <w:r>
        <w:t xml:space="preserve">I livelli combinano richiesta cognitiva, complessità del compito e livello di autonomia. Gli enunciati di competenza sono 362: Base 97, Intermedio 103, Avanzato 89, Altamente avanzato 73.</w:t>
      </w:r>
    </w:p>
    <w:tbl>
      <w:tblPr>
        <w:tblW w:type="dxa" w:w="9638"/>
        <w:tblBorders>
          <w:top w:val="single" w:color="2B426D" w:sz="4"/>
          <w:left w:val="single" w:color="2B426D" w:sz="4"/>
          <w:bottom w:val="single" w:color="2B426D" w:sz="4"/>
          <w:right w:val="single" w:color="2B426D" w:sz="4"/>
          <w:insideH w:val="single" w:color="2B426D" w:sz="4"/>
          <w:insideV w:val="single" w:color="2B426D" w:sz="4"/>
        </w:tblBorders>
      </w:tblPr>
      <w:tblGrid>
        <w:gridCol w:w="1700"/>
        <w:gridCol w:w="3700"/>
        <w:gridCol w:w="4238"/>
      </w:tblGrid>
      <w:tr>
        <w:trPr>
          <w:cantSplit/>
          <w:tblHeader/>
        </w:trPr>
        <w:tc>
          <w:tcPr>
            <w:tcW w:type="dxa" w:w="17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Livello</w:t>
            </w:r>
          </w:p>
        </w:tc>
        <w:tc>
          <w:tcPr>
            <w:tcW w:type="dxa" w:w="37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Descrizione</w:t>
            </w:r>
          </w:p>
        </w:tc>
        <w:tc>
          <w:tcPr>
            <w:tcW w:type="dxa" w:w="4238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Esempio dalla competenza 1.2 (p. 30)</w:t>
            </w:r>
          </w:p>
        </w:tc>
      </w:tr>
      <w:tr>
        <w:trPr>
          <w:cantSplit/>
        </w:trPr>
        <w:tc>
          <w:tcPr>
            <w:tcW w:type="dxa" w:w="1700"/>
            <w:shd w:fill="C7E6E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25285A"/>
                <w:sz w:val="19"/>
                <w:szCs w:val="19"/>
              </w:rPr>
              <w:t xml:space="preserve">Base</w:t>
            </w:r>
          </w:p>
        </w:tc>
        <w:tc>
          <w:tcPr>
            <w:tcW w:type="dxa" w:w="37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Gli individui ricordano e svolgono compiti semplici con guida secondo necessità.</w:t>
            </w:r>
          </w:p>
        </w:tc>
        <w:tc>
          <w:tcPr>
            <w:tcW w:type="dxa" w:w="42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CS1.2.03: Riconoscere che può essere difficile distinguere tra informazioni e contenuti generati da esseri umani e sistemi di IA. [IA-E]</w:t>
            </w:r>
          </w:p>
        </w:tc>
      </w:tr>
      <w:tr>
        <w:trPr>
          <w:cantSplit/>
        </w:trPr>
        <w:tc>
          <w:tcPr>
            <w:tcW w:type="dxa" w:w="1700"/>
            <w:shd w:fill="7FC0C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Intermedio</w:t>
            </w:r>
          </w:p>
        </w:tc>
        <w:tc>
          <w:tcPr>
            <w:tcW w:type="dxa" w:w="37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Gli individui identificano e svolgono compiti ben definiti e risolvono problemi ben definiti in modo autonomo.</w:t>
            </w:r>
          </w:p>
        </w:tc>
        <w:tc>
          <w:tcPr>
            <w:tcW w:type="dxa" w:w="42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CS1.2.10: Riconoscere che i sistemi di IA possono produrre output imprecisi, anche se apparentemente plausibili, e che la responsabilità finale della verifica della qualità e della validità delle informazioni e dei contenuti generati spetta alla persona che utilizza il sistema di IA. [IA-E]</w:t>
            </w:r>
          </w:p>
        </w:tc>
      </w:tr>
      <w:tr>
        <w:trPr>
          <w:cantSplit/>
        </w:trPr>
        <w:tc>
          <w:tcPr>
            <w:tcW w:type="dxa" w:w="1700"/>
            <w:shd w:fill="3A8AA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Avanzato</w:t>
            </w:r>
          </w:p>
        </w:tc>
        <w:tc>
          <w:tcPr>
            <w:tcW w:type="dxa" w:w="37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Gli individui valutano e applicano soluzioni a una varietà di compiti complessi in modo autonomo e si adattano a una varietà di contesti, guidando altri se e quando necessario.</w:t>
            </w:r>
          </w:p>
        </w:tc>
        <w:tc>
          <w:tcPr>
            <w:tcW w:type="dxa" w:w="42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CS1.2.14: Esaminare sistematicamente come i sistemi di IA, i pregiudizi e i diversi interessi influenzano la generazione, la presentazione e l'interpretazione di informazioni e dati negli ambienti digitali. [IA-E]</w:t>
            </w:r>
          </w:p>
        </w:tc>
      </w:tr>
      <w:tr>
        <w:trPr>
          <w:cantSplit/>
        </w:trPr>
        <w:tc>
          <w:tcPr>
            <w:tcW w:type="dxa" w:w="17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Altamente avanzato</w:t>
            </w:r>
          </w:p>
        </w:tc>
        <w:tc>
          <w:tcPr>
            <w:tcW w:type="dxa" w:w="37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Gli individui valutano e risolvono problemi altamente complessi o specializzati per creare nuove soluzioni o adattare quelle esistenti, guidando e dirigendo altri se e quando necessario.</w:t>
            </w:r>
          </w:p>
        </w:tc>
        <w:tc>
          <w:tcPr>
            <w:tcW w:type="dxa" w:w="42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CS1.2.20: Sostenere gli altri negli ambienti digitali nello sviluppo di capacità di valutazione critica delle informazioni e dei contenuti, nonché di resilienza alla misinformazione e alla disinformazione. [IA-I]</w:t>
            </w:r>
          </w:p>
        </w:tc>
      </w:tr>
    </w:tbl>
    <w:p>
      <w:pPr>
        <w:spacing w:after="60"/>
      </w:pPr>
      <w:r>
        <w:t xml:space="preserve"/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Attenzione per la scuola.</w:t>
      </w:r>
      <w:r>
        <w:t xml:space="preserve"> I livelli del DigComp non coincidono con quelli del Quadro europeo delle qualifiche: molti bambini possono raggiungere livelli Intermedio o persino Avanzato in alcune competenze, a seconda dello stadio di sviluppo e degli obiettivi curricolari (nota 8, p. 21).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3CF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pStyle w:val="BoxTitolo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25285A"/>
                <w:sz w:val="28"/>
                <w:szCs w:val="28"/>
              </w:rPr>
              <w:t xml:space="preserve">Prerequisiti per la competenza digitale di base (p. 22)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Un livello di alfabetizzazione sufficiente a decodificare informazioni visive, testuali e/o audio di base.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Accesso a una connessione Internet sufficientemente veloce e stabile.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Accesso a uno o più dispositivi digitali adatti, con le applicazioni necessarie.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Accesso all'assistenza tecnica, ove necessario.</w:t>
            </w:r>
          </w:p>
          <w:p>
            <w:pPr>
              <w:pStyle w:val="ListParagraph"/>
              <w:numPr>
                <w:ilvl w:val="0"/>
                <w:numId w:val="2"/>
              </w:numPr>
              <w:jc w:val="left"/>
            </w:pPr>
            <w:r>
              <w:t xml:space="preserve">Accesso a guida e supporto per adattare dispositivi e impostazioni alle esigenze fisiche, cognitive o psicologiche individuali.</w:t>
            </w:r>
          </w:p>
          <w:p>
            <w:pPr>
              <w:jc w:val="both"/>
            </w:pPr>
            <w:r>
              <w:t xml:space="preserve">Se le iniziative non ne tengono conto, l'esclusione digitale potrebbe ampliarsi. L'Austria, nel suo adattamento nazionale (DigComp 2.3 AT), ha aggiunto un'«Area 0» dedicata a fondamenti, accesso e comprensione digitale.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2"/>
      </w:pPr>
      <w:r>
        <w:t xml:space="preserve">Enunciati di competenza e risultati di apprendimento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Gli </w:t>
      </w:r>
      <w:r>
        <w:rPr>
          <w:b/>
          <w:bCs/>
        </w:rPr>
        <w:t xml:space="preserve">enunciati di competenza</w:t>
      </w:r>
      <w:r>
        <w:t xml:space="preserve"> (Sezione 3) descrivono ogni competenza a ciascun livello, senza distinguere tra conoscenze, abilità e atteggiamenti. Hanno finalità descrittive e orientative: non sono criteri di valutazione né requisiti certificabili (nota 12, p. 28).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I </w:t>
      </w:r>
      <w:r>
        <w:rPr>
          <w:b/>
          <w:bCs/>
        </w:rPr>
        <w:t xml:space="preserve">risultati di apprendimento</w:t>
      </w:r>
      <w:r>
        <w:t xml:space="preserve"> (Allegato 2) sono la vista più dettagliata: dichiarazioni di ciò che una persona conosce, comprende o sa fare al termine di un apprendimento, classificate per competenza, livello e tipo. Nel DigComp 3.0 si tratta di risultati </w:t>
      </w:r>
      <w:r>
        <w:rPr>
          <w:b/>
          <w:bCs/>
        </w:rPr>
        <w:t xml:space="preserve">attesi</w:t>
      </w:r>
      <w:r>
        <w:t xml:space="preserve">, non raggiunti (p. 23).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Distribuzione dei 522 risultati di apprendimento: Base 29% (151), Intermedio 32% (169), Avanzato 23% (119), Altamente avanzato 16% (83); conoscenze 42% (216), abilità 38% (199), atteggiamenti 20% (107) (p. 23). Il JRC segnala che il risultato 2.5.09 duplica il 2.5.07: la numerazione resta invariata, ma il numero effettivo è 522 (nota 10, p. 24).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Usi indicati: progettazione e revisione di curricoli e corsi, riconoscimento e convalida degli apprendimenti, valutazione formativa e sommativa, profili professionali (p. 23).</w:t>
      </w:r>
    </w:p>
    <w:p>
      <w:pPr>
        <w:pageBreakBefore/>
        <w:spacing w:after="0" w:before="0" w:line="120" w:lineRule="exact"/>
      </w:pPr>
    </w:p>
    <w:tbl>
      <w:tblPr>
        <w:tblW w:type="dxa" w:w="2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</w:tblGrid>
      <w:tr>
        <w:trPr>
          <w:cantSplit/>
        </w:trPr>
        <w:tc>
          <w:tcPr>
            <w:tcW w:type="dxa" w:w="2000"/>
            <w:shd w:fill="25285A" w:color="auto" w:val="clear"/>
            <w:tcMar>
              <w:top w:type="dxa" w:w="80"/>
              <w:bottom w:type="dxa" w:w="80"/>
            </w:tcMar>
          </w:tcPr>
          <w:p>
            <w:pPr>
              <w:spacing w:after="0" w:before="0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FFFFFF"/>
                <w:sz w:val="64"/>
                <w:szCs w:val="64"/>
              </w:rPr>
              <w:t xml:space="preserve">03</w:t>
            </w:r>
          </w:p>
        </w:tc>
      </w:tr>
    </w:tbl>
    <w:p>
      <w:pPr>
        <w:pStyle w:val="Heading1"/>
        <w:jc w:val="center"/>
      </w:pPr>
      <w:r>
        <w:t xml:space="preserve">La competenza in materia di IA</w:t>
      </w:r>
    </w:p>
    <w:p>
      <w:pPr>
        <w:spacing w:after="120" w:before="120"/>
        <w:jc w:val="center"/>
      </w:pPr>
      <w:r>
        <w:drawing>
          <wp:inline distT="0" distB="0" distL="0" distR="0">
            <wp:extent cx="666750" cy="666750"/>
            <wp:effectExtent t="0" r="0" b="0" l="0"/>
            <wp:docPr id="4" name="simbolo_barre" descr="simbolo barre" title="simbolo_ba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L'approccio</w:t>
      </w:r>
    </w:p>
    <w:p>
      <w:pPr>
        <w:keepNext w:val="false"/>
        <w:spacing w:after="140" w:before="0"/>
        <w:jc w:val="both"/>
      </w:pPr>
      <w:r>
        <w:t xml:space="preserve">Il DigComp 3.0 riprende il lavoro avviato con il DigComp 2.2 e integra in modo sistematico la competenza in materia di IA, che è intrecciata con gli altri elementi della competenza digitale. L'IA è inquadrata come una tra le diverse tecnologie digitali, mantenendo l'attenzione sulle competenze stesse (p. 24). Le fonti sull'alfabetizzazione IA concordano su tre elementi, riflessi nel framework: comprendere che cosa sia (e che cosa non sia) l'IA, i contesti di applicazione, gli approcci critici, etici e responsabili (p. 24).</w:t>
      </w:r>
    </w:p>
    <w:p>
      <w:pPr>
        <w:keepNext/>
        <w:spacing w:after="140" w:before="0"/>
        <w:jc w:val="both"/>
      </w:pPr>
      <w:r>
        <w:rPr>
          <w:b/>
          <w:bCs/>
        </w:rPr>
        <w:t xml:space="preserve">Sistema di IA</w:t>
      </w:r>
      <w:r>
        <w:t xml:space="preserve"> (Regolamento sull'IA, art. 3(1), citato a p. 24):</w:t>
      </w:r>
    </w:p>
    <w:p>
      <w:pPr>
        <w:pStyle w:val="Citazione"/>
      </w:pPr>
      <w:r>
        <w:t xml:space="preserve">«…un sistema automatizzato progettato per funzionare con livelli di autonomia variabili e che può presentare adattabilità dopo la diffusione e che, per obiettivi espliciti o impliciti, deduce dall'input che riceve come generare output, quali previsioni, contenuti, raccomandazioni o decisioni che possono influenzare ambienti fisici o virtuali.»</w:t>
      </w:r>
    </w:p>
    <w:p>
      <w:pPr>
        <w:keepNext w:val="false"/>
        <w:spacing w:after="140" w:before="0"/>
        <w:jc w:val="both"/>
      </w:pPr>
      <w:r>
        <w:rPr>
          <w:b/>
          <w:bCs/>
        </w:rPr>
        <w:t xml:space="preserve">IA generativa</w:t>
      </w:r>
      <w:r>
        <w:t xml:space="preserve"> (p. 24): un sottoinsieme dell'IA che utilizza modelli specializzati di apprendimento automatico progettati per produrre un'ampia e generale varietà di output, capaci di gestire una gamma di compiti e applicazioni, come la generazione di testi, immagini e audio. «IA» e «sistema di IA» includono l'IA generativa; questa è citata esplicitamente solo dove è centrale per una competenza.</w:t>
      </w:r>
    </w:p>
    <w:p>
      <w:pPr>
        <w:pStyle w:val="Heading2"/>
      </w:pPr>
      <w:r>
        <w:t xml:space="preserve">IA esplicita e implicita (Box 3, p. 25)</w:t>
      </w:r>
    </w:p>
    <w:tbl>
      <w:tblPr>
        <w:tblW w:type="dxa" w:w="9638"/>
        <w:tblBorders>
          <w:top w:val="single" w:color="2B426D" w:sz="4"/>
          <w:left w:val="single" w:color="2B426D" w:sz="4"/>
          <w:bottom w:val="single" w:color="2B426D" w:sz="4"/>
          <w:right w:val="single" w:color="2B426D" w:sz="4"/>
          <w:insideH w:val="single" w:color="2B426D" w:sz="4"/>
          <w:insideV w:val="single" w:color="2B426D" w:sz="4"/>
        </w:tblBorders>
      </w:tblPr>
      <w:tblGrid>
        <w:gridCol w:w="2800"/>
        <w:gridCol w:w="2279"/>
        <w:gridCol w:w="2279"/>
        <w:gridCol w:w="2280"/>
      </w:tblGrid>
      <w:tr>
        <w:trPr>
          <w:cantSplit/>
          <w:tblHeader/>
        </w:trPr>
        <w:tc>
          <w:tcPr>
            <w:tcW w:type="dxa" w:w="28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</w:p>
        </w:tc>
        <w:tc>
          <w:tcPr>
            <w:tcW w:type="dxa" w:w="2279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IA esplicita [IA-E]</w:t>
            </w:r>
          </w:p>
        </w:tc>
        <w:tc>
          <w:tcPr>
            <w:tcW w:type="dxa" w:w="2279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IA implicita [IA-I]</w:t>
            </w:r>
          </w:p>
        </w:tc>
        <w:tc>
          <w:tcPr>
            <w:tcW w:type="dxa" w:w="228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Né esplicita né implicita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Enunciati di competenza (362)</w:t>
            </w:r>
          </w:p>
        </w:tc>
        <w:tc>
          <w:tcPr>
            <w:tcW w:type="dxa" w:w="2279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14% (49)</w:t>
            </w:r>
          </w:p>
        </w:tc>
        <w:tc>
          <w:tcPr>
            <w:tcW w:type="dxa" w:w="2279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68% (246)</w:t>
            </w:r>
          </w:p>
        </w:tc>
        <w:tc>
          <w:tcPr>
            <w:tcW w:type="dxa" w:w="228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18% (67)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Risultati di apprendimento (522)</w:t>
            </w:r>
          </w:p>
        </w:tc>
        <w:tc>
          <w:tcPr>
            <w:tcW w:type="dxa" w:w="2279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13% (69)</w:t>
            </w:r>
          </w:p>
        </w:tc>
        <w:tc>
          <w:tcPr>
            <w:tcW w:type="dxa" w:w="2279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63% (329)</w:t>
            </w:r>
          </w:p>
        </w:tc>
        <w:tc>
          <w:tcPr>
            <w:tcW w:type="dxa" w:w="228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24% (124)</w:t>
            </w:r>
          </w:p>
        </w:tc>
      </w:tr>
    </w:tbl>
    <w:p>
      <w:pPr>
        <w:spacing w:after="60"/>
      </w:pPr>
      <w:r>
        <w:t xml:space="preserve"/>
      </w:r>
    </w:p>
    <w:p>
      <w:pPr>
        <w:keepNext w:val="false"/>
        <w:spacing w:after="140" w:before="0"/>
        <w:jc w:val="both"/>
      </w:pPr>
      <w:r>
        <w:t xml:space="preserve">L'IA è presente, in modo esplicito, implicito o in entrambi i modi, in tutte le 21 competenze. Gli aspetti senza IA riguardano altre tecnologie o sono intrinsecamente «umani» (scelta, preferenze, giudizio situazionale). L'etichettatura va intesa solo come guida generale.</w:t>
      </w:r>
    </w:p>
    <w:p>
      <w:pPr>
        <w:keepNext/>
        <w:spacing w:after="140" w:before="0"/>
        <w:jc w:val="both"/>
      </w:pPr>
      <w:r>
        <w:t xml:space="preserve">Un enunciato è </w:t>
      </w:r>
      <w:r>
        <w:rPr>
          <w:b/>
          <w:bCs/>
        </w:rPr>
        <w:t xml:space="preserve">IA-implicito</w:t>
      </w:r>
      <w:r>
        <w:t xml:space="preserve"> quando (Box 3, p. 25):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200"/>
        <w:gridCol w:w="8838"/>
      </w:tblGrid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comporta l'uso di sistemi di IA come una delle tecnologie possibili (es. CS3.1.14: decidere se usare un sistema di IA per creare un contenuto);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comporta l'uso di una tecnologia che integra funzioni di IA (es. CS2.4.05: la presa di appunti automatica in uno strumento di collaborazione);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riguarda la comprensione di come operano i sistemi di IA (es. CS3.2.06: scegliere lo strumento, scrivere e rielaborare i prompt, verificare l'output di un riassunto);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riguarda le implicazioni personali, etiche o sociali dei sistemi di IA (trasparenza, impatto ambientale, consenso dei partecipanti, privacy).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2"/>
      </w:pPr>
      <w:r>
        <w:t xml:space="preserve">Esempi di enunciati IA-espliciti (Sezione 3)</w:t>
      </w:r>
    </w:p>
    <w:tbl>
      <w:tblPr>
        <w:tblW w:type="dxa" w:w="9638"/>
        <w:tblBorders>
          <w:top w:val="single" w:color="2B426D" w:sz="4"/>
          <w:left w:val="single" w:color="2B426D" w:sz="4"/>
          <w:bottom w:val="single" w:color="2B426D" w:sz="4"/>
          <w:right w:val="single" w:color="2B426D" w:sz="4"/>
          <w:insideH w:val="single" w:color="2B426D" w:sz="4"/>
          <w:insideV w:val="single" w:color="2B426D" w:sz="4"/>
        </w:tblBorders>
      </w:tblPr>
      <w:tblGrid>
        <w:gridCol w:w="1300"/>
        <w:gridCol w:w="7438"/>
        <w:gridCol w:w="900"/>
      </w:tblGrid>
      <w:tr>
        <w:trPr>
          <w:cantSplit/>
          <w:tblHeader/>
        </w:trPr>
        <w:tc>
          <w:tcPr>
            <w:tcW w:type="dxa" w:w="13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Codice</w:t>
            </w:r>
          </w:p>
        </w:tc>
        <w:tc>
          <w:tcPr>
            <w:tcW w:type="dxa" w:w="7438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Enunciato</w:t>
            </w:r>
          </w:p>
        </w:tc>
        <w:tc>
          <w:tcPr>
            <w:tcW w:type="dxa" w:w="900"/>
            <w:shd w:fill="2B426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Pagina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CS1.2.09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Riconoscere che alcune tecnologie digitali, come i sistemi di IA, possono funzionare come una "scatola nera", rendendo difficile spiegare perché o come sia stato prodotto un determinato output.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CS2.1.10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Sviluppare e perfezionare domande, comandi o istruzioni (prompt) per assistenti virtuali (chatbot) e sistemi di IA per gestire interazioni non complesse.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32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CS2.3.16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Distinguere tra sistemi di IA ad alto rischio e quelli vietati (secondo la legislazione) e i loro potenziali impatti sociali, politici o economici.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34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CS2.4.06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Identificare esempi di collaborazione uomo-IA che sia etica, responsabile ed efficace.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CS3.1.05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Riconoscere che l'IA generativa è un tipo particolare di IA ed è una delle varie tecnologie digitali che possono essere utilizzate per supportare la creazione di contenuti.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38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CS3.3.03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Riconoscere che i contenuti generati dall'IA dovrebbero essere etichettati come tali per aiutare gli altri a comprenderne l'origine e le possibilità di ulteriore utilizzo.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40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CS3.4.03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Riconoscere cosa sia l'IA in termini generali, operando una distinzione di base tra ciò che è e ciò che non è un sistema di IA.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CS3.4.09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Riconoscere che l'apprendimento automatico è un tipo di programmazione utilizzato nell'IA che consente agli algoritmi di apprendere dai dati e fare previsioni.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CS4.2.04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Identificare i rischi della condivisione di dati personali in ambienti digitali, inclusi i rischi specifici in relazione ai sistemi di IA.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b/>
                <w:bCs/>
                <w:color w:val="1F2433"/>
                <w:sz w:val="19"/>
                <w:szCs w:val="19"/>
              </w:rPr>
              <w:t xml:space="preserve">CS4.4.02</w:t>
            </w:r>
          </w:p>
        </w:tc>
        <w:tc>
          <w:tcPr>
            <w:tcW w:type="dxa" w:w="7438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Riconoscere che alcune tecnologie e infrastrutture digitali, come i sistemi di IA e i data center, hanno grandi impatti sull'ambiente.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 w:lineRule="auto"/>
              <w:jc w:val="left"/>
            </w:pPr>
            <w:r>
              <w:rPr>
                <w:color w:val="1F2433"/>
                <w:sz w:val="19"/>
                <w:szCs w:val="19"/>
              </w:rPr>
              <w:t xml:space="preserve">45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2"/>
      </w:pPr>
      <w:r>
        <w:t xml:space="preserve">DigComp 3.0 e AILit Framework</w:t>
      </w:r>
    </w:p>
    <w:p>
      <w:pPr>
        <w:keepNext/>
        <w:spacing w:after="140" w:before="0"/>
        <w:jc w:val="both"/>
      </w:pPr>
      <w:r>
        <w:t xml:space="preserve">Che cosa dice il DigComp 3.0: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200"/>
        <w:gridCol w:w="8838"/>
      </w:tblGrid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Tra le iniziative europee cita il framework CE-OCSE per l'alfabetizzazione IA nella scuola primaria e secondaria (Box 1, p. 10).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Il JRC ha svolto una mappatura tra le competenze della bozza AILit (OCSE, 2025) e il DigComp 3.0 (p. 24).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FFFFFF" w:sz="24"/>
              <w:left w:val="none" w:color="FFFFFF" w:sz="0"/>
              <w:bottom w:val="single" w:color="FFFFFF" w:sz="24"/>
              <w:right w:val="none" w:color="FFFFFF" w:sz="0"/>
            </w:tcBorders>
            <w:shd w:fill="2B426D" w:color="auto" w:val="clear"/>
            <w:tcMar>
              <w:top w:type="dxa" w:w="40"/>
              <w:bottom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200"/>
          </w:tcPr>
          <w:p>
            <w:r>
              <w:t xml:space="preserve"/>
            </w:r>
          </w:p>
        </w:tc>
        <w:tc>
          <w:tcPr>
            <w:tcW w:type="dxa" w:w="8838"/>
            <w:tcBorders>
              <w:top w:val="none" w:color="FFFFFF" w:sz="0"/>
              <w:left w:val="none" w:color="FFFFFF" w:sz="0"/>
              <w:bottom w:val="single" w:color="2B426D" w:sz="6"/>
              <w:right w:val="none" w:color="FFFFFF" w:sz="0"/>
            </w:tcBorders>
            <w:vAlign w:val="center"/>
          </w:tcPr>
          <w:p>
            <w:pPr>
              <w:spacing w:after="60" w:before="60"/>
            </w:pPr>
            <w:r>
              <w:rPr>
                <w:b/>
                <w:bCs/>
              </w:rPr>
              <w:t xml:space="preserve">L'esercizio di mappatura, condotto da Lidija Kralj con il JRC, ha confermato che tutte le competenze AILit erano adeguatamente coperte nel materiale preliminare del DigComp 3.0 (Allegato 3, p. 116).</w:t>
            </w:r>
          </w:p>
        </w:tc>
      </w:tr>
    </w:tbl>
    <w:p>
      <w:pPr>
        <w:spacing w:after="60"/>
      </w:pPr>
      <w:r>
        <w:t xml:space="preserve"/>
      </w:r>
    </w:p>
    <w:p>
      <w:pPr>
        <w:keepNext w:val="false"/>
        <w:spacing w:after="140" w:before="0"/>
        <w:jc w:val="both"/>
      </w:pPr>
      <w:r>
        <w:t xml:space="preserve">La tabella di mappatura non è riportata nel documento.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3CF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pStyle w:val="BoxTitolo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25285A"/>
                <w:sz w:val="28"/>
                <w:szCs w:val="28"/>
              </w:rPr>
              <w:t xml:space="preserve">Una lettura operativa (proposta del formatore, non contenuta nel DigComp)</w:t>
            </w:r>
          </w:p>
          <w:p>
            <w:pPr>
              <w:jc w:val="both"/>
            </w:pPr>
            <w:r>
              <w:t xml:space="preserve">Il DigComp 3.0 è la cornice generale della competenza digitale, per bambini e adulti, in cui l'IA è trasversale. L'AILit Framework è un approfondimento specifico sull'IA per la scuola primaria e secondaria, articolato in quattro ambiti (Interagire, Creare, Gestire, Plasmare). In classe si può usare il DigComp per collocare un'attività nella competenza digitale e l'AILit per progettarne la parte sull'IA.</w:t>
            </w:r>
          </w:p>
        </w:tc>
      </w:tr>
    </w:tbl>
    <w:p>
      <w:pPr>
        <w:spacing w:after="60"/>
      </w:pPr>
      <w: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3F7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pStyle w:val="BoxTitolo"/>
              <w:jc w:val="center"/>
            </w:pPr>
            <w:r>
              <w:rPr>
                <w:rFonts w:ascii="Titillium Web" w:cs="Titillium Web" w:eastAsia="Titillium Web" w:hAnsi="Titillium Web"/>
                <w:b/>
                <w:bCs/>
                <w:color w:val="25285A"/>
                <w:sz w:val="28"/>
                <w:szCs w:val="28"/>
              </w:rPr>
              <w:t xml:space="preserve">Attività: dal quadro alla classe</w:t>
            </w:r>
          </w:p>
          <w:p>
            <w:pPr>
              <w:spacing w:after="120"/>
              <w:jc w:val="center"/>
            </w:pPr>
            <w:r>
              <w:rPr>
                <w:i/>
                <w:iCs/>
                <w:color w:val="5D6676"/>
                <w:sz w:val="19"/>
                <w:szCs w:val="19"/>
              </w:rPr>
              <w:t xml:space="preserve">(piccoli gruppi · 30 minuti)</w:t>
            </w:r>
          </w:p>
          <w:p>
            <w:pPr>
              <w:spacing w:after="100"/>
              <w:ind w:left="400" w:hanging="400"/>
              <w:jc w:val="left"/>
            </w:pPr>
            <w:r>
              <w:rPr>
                <w:b/>
                <w:bCs/>
                <w:color w:val="2B426D"/>
              </w:rPr>
              <w:t xml:space="preserve">1.  </w:t>
            </w:r>
            <w:r>
              <w:t xml:space="preserve">Scegliete una competenza (ad es. 1.2 Valutare le informazioni) e leggete gli enunciati dei quattro livelli (Sezione 3).</w:t>
            </w:r>
          </w:p>
          <w:p>
            <w:pPr>
              <w:spacing w:after="100"/>
              <w:ind w:left="400" w:hanging="400"/>
              <w:jc w:val="left"/>
            </w:pPr>
            <w:r>
              <w:rPr>
                <w:b/>
                <w:bCs/>
                <w:color w:val="2B426D"/>
              </w:rPr>
              <w:t xml:space="preserve">2.  </w:t>
            </w:r>
            <w:r>
              <w:t xml:space="preserve">Individuate gli enunciati [IA-E] e [IA-I]: che cosa chiedono di sapere o di saper fare?</w:t>
            </w:r>
          </w:p>
          <w:p>
            <w:pPr>
              <w:spacing w:after="100"/>
              <w:ind w:left="400" w:hanging="400"/>
              <w:jc w:val="left"/>
            </w:pPr>
            <w:r>
              <w:rPr>
                <w:b/>
                <w:bCs/>
                <w:color w:val="2B426D"/>
              </w:rPr>
              <w:t xml:space="preserve">3.  </w:t>
            </w:r>
            <w:r>
              <w:t xml:space="preserve">Collegate ogni enunciato a un ambito AILit (Interagire, Creare, Gestire, Plasmare) e motivate la scelta.</w:t>
            </w:r>
          </w:p>
          <w:p>
            <w:pPr>
              <w:spacing w:after="100"/>
              <w:ind w:left="400" w:hanging="400"/>
              <w:jc w:val="left"/>
            </w:pPr>
            <w:r>
              <w:rPr>
                <w:b/>
                <w:bCs/>
                <w:color w:val="2B426D"/>
              </w:rPr>
              <w:t xml:space="preserve">4.  </w:t>
            </w:r>
            <w:r>
              <w:t xml:space="preserve">Progettate un'attività per la vostra classe e indicate i risultati di apprendimento (Allegato 2) a cui mira.</w:t>
            </w:r>
          </w:p>
          <w:p>
            <w:pPr>
              <w:jc w:val="both"/>
            </w:pPr>
            <w:r>
              <w:t xml:space="preserve">Prodotto atteso: una scheda con competenza, livello, enunciati scelti, ambito AILit, descrizione dell'attività e risultati di apprendimento.</w:t>
            </w:r>
          </w:p>
        </w:tc>
      </w:tr>
    </w:tbl>
    <w:p>
      <w:pPr>
        <w:spacing w:after="60"/>
      </w:pPr>
      <w:r>
        <w:t xml:space="preserve"/>
      </w:r>
    </w:p>
    <w:p>
      <w:pPr>
        <w:pageBreakBefore/>
        <w:spacing w:after="0" w:before="0" w:line="120" w:lineRule="exact"/>
      </w:pPr>
    </w:p>
    <w:p>
      <w:pPr>
        <w:pStyle w:val="Heading2"/>
      </w:pPr>
      <w:r>
        <w:t xml:space="preserve">Fonti e licenza</w:t>
      </w:r>
    </w:p>
    <w:p>
      <w:pPr>
        <w:pStyle w:val="ListParagraph"/>
        <w:numPr>
          <w:ilvl w:val="0"/>
          <w:numId w:val="2"/>
        </w:numPr>
        <w:jc w:val="left"/>
      </w:pPr>
      <w:r>
        <w:t xml:space="preserve">Cosgrove, J. e Cachia, R. (2025). </w:t>
      </w:r>
      <w:r>
        <w:rPr>
          <w:i/>
          <w:iCs/>
        </w:rPr>
        <w:t xml:space="preserve">DigComp 3.0: European Digital Competence Framework – Fifth Edition</w:t>
      </w:r>
      <w:r>
        <w:t xml:space="preserve">. Publications Office of the European Union, Luxembourg. https://data.europa.eu/doi/10.2760/0001149 – JRC144121. Licenza CC BY 4.0.</w:t>
      </w:r>
    </w:p>
    <w:p>
      <w:pPr>
        <w:pStyle w:val="ListParagraph"/>
        <w:numPr>
          <w:ilvl w:val="0"/>
          <w:numId w:val="2"/>
        </w:numPr>
        <w:jc w:val="both"/>
      </w:pPr>
      <w:r>
        <w:rPr>
          <w:i/>
          <w:iCs/>
        </w:rPr>
        <w:t xml:space="preserve">DigComp 3.0 – Quadro Europeo delle Competenze Digitali</w:t>
      </w:r>
      <w:r>
        <w:t xml:space="preserve">, traduzione in italiano, versione 1.0 del 31/03/2026, a cura del Gruppo di lavoro istituito dal Dipartimento per la trasformazione digitale della Presidenza del Consiglio dei ministri nell'ambito del programma Repubblica Digitale. Licenza CC BY-SA 4.0.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Figura 5: elaborazione JRC, dal DigComp 3.0 (p. 17).</w:t>
      </w:r>
    </w:p>
    <w:p>
      <w:pPr>
        <w:keepNext w:val="false"/>
        <w:spacing w:after="140" w:before="0"/>
        <w:jc w:val="both"/>
      </w:pPr>
      <w:r>
        <w:t xml:space="preserve">Questa dispensa è una sintesi adattata delle opere citate ed è distribuita con licenza CC BY-SA 4.0. I testi tra virgolette sono citazioni; gli altri sono sintesi. Non rappresenta le posizioni ufficiali della Commissione europea né del Dipartimento per la trasformazione digitale. Palette e impaginazione sono ispirate al DigComp 3.0; non sono inclusi loghi né immagini stock della pubblicazione.</w:t>
      </w:r>
    </w:p>
    <w:sectPr>
      <w:footerReference w:type="default" r:id="rId6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jc w:val="left"/>
    </w:pPr>
    <w:r>
      <w:rPr>
        <w:i/>
        <w:iCs/>
        <w:color w:val="5D6676"/>
        <w:sz w:val="14"/>
        <w:szCs w:val="14"/>
      </w:rPr>
      <w:t xml:space="preserve">DigComp 3.0, JRC/Commissione europea (2025), trad. it. v1.0 (2026) · CC BY-SA 4.0 · Adattamento non ufficiale</w:t>
    </w:r>
    <w:r>
      <w:t xml:space="preserve">	</w:t>
    </w:r>
    <w:r>
      <w:rPr>
        <w:b/>
        <w:bCs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400" w:hanging="280"/>
      </w:pPr>
      <w:rPr>
        <w:b/>
        <w:bCs/>
        <w:color w:val="2B426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3" w:cs="Source Sans 3" w:eastAsia="Source Sans 3" w:hAnsi="Source Sans 3"/>
        <w:color w:val="1F24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140" w:line="288" w:lineRule="auto"/>
      <w:jc w:val="both"/>
    </w:pPr>
    <w:rPr>
      <w:rFonts w:ascii="Source Sans 3" w:cs="Source Sans 3" w:eastAsia="Source Sans 3" w:hAnsi="Source Sans 3"/>
      <w:color w:val="1F2433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pacing w:after="160" w:before="120"/>
      <w:jc w:val="center"/>
      <w:outlineLvl w:val="0"/>
    </w:pPr>
    <w:rPr>
      <w:rFonts w:ascii="Titillium Web" w:cs="Titillium Web" w:eastAsia="Titillium Web" w:hAnsi="Titillium Web"/>
      <w:b/>
      <w:bCs/>
      <w:color w:val="25285A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jc w:val="left"/>
      <w:outlineLvl w:val="1"/>
    </w:pPr>
    <w:rPr>
      <w:rFonts w:ascii="Titillium Web" w:cs="Titillium Web" w:eastAsia="Titillium Web" w:hAnsi="Titillium Web"/>
      <w:b/>
      <w:bCs/>
      <w:color w:val="25285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jc w:val="left"/>
      <w:outlineLvl w:val="2"/>
    </w:pPr>
    <w:rPr>
      <w:rFonts w:ascii="Source Sans 3" w:cs="Source Sans 3" w:eastAsia="Source Sans 3" w:hAnsi="Source Sans 3"/>
      <w:b/>
      <w:bCs/>
      <w:color w:val="2B426D"/>
      <w:sz w:val="24"/>
      <w:szCs w:val="24"/>
    </w:rPr>
  </w:style>
  <w:style w:type="paragraph" w:styleId="TitoloDispensa">
    <w:name w:val="AILit Titolo dispensa"/>
    <w:basedOn w:val="Normal"/>
    <w:pPr>
      <w:spacing w:after="0" w:line="240" w:lineRule="auto"/>
      <w:jc w:val="left"/>
    </w:pPr>
    <w:rPr>
      <w:rFonts w:ascii="Titillium Web" w:cs="Titillium Web" w:eastAsia="Titillium Web" w:hAnsi="Titillium Web"/>
      <w:b/>
      <w:bCs/>
      <w:color w:val="FFFFFF"/>
      <w:sz w:val="60"/>
      <w:szCs w:val="60"/>
    </w:rPr>
  </w:style>
  <w:style w:type="paragraph" w:styleId="BoxTitolo">
    <w:name w:val="AILit Titolo riquadro"/>
    <w:basedOn w:val="Normal"/>
    <w:pPr>
      <w:spacing w:after="160" w:before="0"/>
    </w:pPr>
    <w:rPr>
      <w:rFonts w:ascii="Titillium Web" w:cs="Titillium Web" w:eastAsia="Titillium Web" w:hAnsi="Titillium Web"/>
      <w:b/>
      <w:bCs/>
      <w:color w:val="25285A"/>
      <w:sz w:val="28"/>
      <w:szCs w:val="28"/>
    </w:rPr>
  </w:style>
  <w:style w:type="paragraph" w:styleId="Citazione">
    <w:name w:val="AILit Citazione"/>
    <w:basedOn w:val="Normal"/>
    <w:qFormat/>
    <w:pPr>
      <w:pBdr>
        <w:left w:val="single" w:color="2B426D" w:sz="8" w:space="12"/>
      </w:pBdr>
      <w:spacing w:after="120" w:before="120"/>
      <w:ind w:left="360"/>
      <w:jc w:val="left"/>
    </w:pPr>
    <w:rPr>
      <w:rFonts w:ascii="Titillium Web" w:cs="Titillium Web" w:eastAsia="Titillium Web" w:hAnsi="Titillium Web"/>
      <w:i/>
      <w:iCs/>
      <w:color w:val="2B426D"/>
      <w:sz w:val="23"/>
      <w:szCs w:val="23"/>
    </w:rPr>
  </w:style>
  <w:style w:type="paragraph" w:styleId="Didascalia">
    <w:name w:val="AILit Didascalia"/>
    <w:basedOn w:val="Normal"/>
    <w:qFormat/>
    <w:pPr>
      <w:jc w:val="center"/>
    </w:pPr>
    <w:rPr>
      <w:i/>
      <w:iCs/>
      <w:color w:val="5D6676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a199877d0410452ef408c88f83682c7c7f07048.png"/><Relationship Id="rId9" Type="http://schemas.openxmlformats.org/officeDocument/2006/relationships/image" Target="media/8c83f84550309c3a0e277fdbd2d00aa820ea0d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DigComp 3.0 - Dispensa</dc:title>
  <dc:creator>Antonio Scaramuzzino</dc:creator>
  <cp:lastModifiedBy>Un-named</cp:lastModifiedBy>
  <cp:revision>1</cp:revision>
  <dcterms:created xsi:type="dcterms:W3CDTF">2026-10-20T17:29:14.171Z</dcterms:created>
  <dcterms:modified xsi:type="dcterms:W3CDTF">2026-10-20T17:29:14.172Z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